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84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47"/>
        <w:gridCol w:w="4247"/>
      </w:tblGrid>
      <w:tr>
        <w:tblPrEx>
          <w:shd w:val="clear" w:color="auto" w:fill="d0ddef"/>
        </w:tblPrEx>
        <w:trPr>
          <w:trHeight w:val="8839" w:hRule="atLeast"/>
        </w:trPr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FORTALEZAS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Grupo heterog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neo de profesionales con diferentes perfiles.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Respuesta educativa adecuada al alumnado que acude al centro.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Ubicaci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 xml:space="preserve">n del Colegio 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 xml:space="preserve">Pertenencia a una ONL consolidada en 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mbito social.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Visi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positiva del colegio por parte de familias y alumnado.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Concierto educativo vigente hasta 2023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Ratios adecuadas, con visto bueno de la administraci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Relaci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con otros centros y entidades.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Dotaci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material de las aulas.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Realizaci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 xml:space="preserve">n de actividades en entornos reales (complementarias). Algo que la Lomce valora como </w:t>
            </w:r>
            <w:r>
              <w:rPr>
                <w:rStyle w:val="Ninguno"/>
                <w:rtl w:val="0"/>
                <w:lang w:val="es-ES_tradnl"/>
              </w:rPr>
              <w:t>fundamental</w:t>
            </w:r>
            <w:r>
              <w:rPr>
                <w:rStyle w:val="Ninguno"/>
                <w:rtl w:val="0"/>
                <w:lang w:val="es-ES_tradnl"/>
              </w:rPr>
              <w:t xml:space="preserve"> para el trabajo de las competencias clave.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</w:pPr>
            <w:r>
              <w:rPr>
                <w:rStyle w:val="Ninguno"/>
                <w:lang w:val="es-ES_tradnl"/>
              </w:rPr>
            </w:r>
          </w:p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DEBILIDADES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Infraestructuras mejorables.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Sistema de evaluaci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acad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mica del alumnado no estandarizado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Baja coordinaci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entre profesionales.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Matr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 xml:space="preserve">cula y entradas de alumnado poco predecibles 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Frecuencia de cambio de los equipos directivos/director@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Falta de reconocimiento del talento entre los profesionales</w:t>
            </w: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lang w:val="es-ES_tradnl"/>
              </w:rPr>
            </w:r>
          </w:p>
        </w:tc>
      </w:tr>
      <w:tr>
        <w:tblPrEx>
          <w:shd w:val="clear" w:color="auto" w:fill="d0ddef"/>
        </w:tblPrEx>
        <w:trPr>
          <w:trHeight w:val="8420" w:hRule="atLeast"/>
        </w:trPr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OPORTUNIDADES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Inter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s y motivaci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profesionales por la mejora educativa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Potenciaci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actividades inclusivas.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Inter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s de otros centros y familias en nuestra modalidad educativa.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Adaptaci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del proceso de ense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anza aprendizaje a la Lomce (competencias clave)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Alianzas con nuevas entidades para buscar la inclusi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nuestro alumnado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Realizaci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proyectos innovadores que proyecten imagen positiva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Potenciar modelo de escolarizaci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combinada bidireccional.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Fomentar el aumento de pr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cticas laborales y experiencias formativas inclusivas.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spacing w:after="0" w:line="240" w:lineRule="auto"/>
            </w:pPr>
            <w:r>
              <w:rPr>
                <w:rStyle w:val="Ninguno"/>
                <w:lang w:val="es-ES_tradnl"/>
              </w:rPr>
            </w:r>
          </w:p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AMENAZAS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Imagen desde fuera (etiquetaje)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Confusi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pol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tico-institucional en la necesidad o no de la pervivencia de centros con nuestra modalidad de escolarizaci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No desarrollo de normas espec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ficas para el desarrollo de la TVA y FPA.</w:t>
            </w:r>
          </w:p>
          <w:p>
            <w:pPr>
              <w:pStyle w:val="Cuerpo A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Oferta formativa en las etapas de TVA/FPA en otros centros formativos de Educaci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Especial.</w:t>
            </w: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Las aulas espec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ficas de los centros ordinarios.</w:t>
            </w: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tl w:val="0"/>
                <w:lang w:val="es-ES_tradnl"/>
              </w:rPr>
            </w:pPr>
          </w:p>
          <w:p>
            <w:pPr>
              <w:pStyle w:val="Cuerp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PIA a los 16 a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os.</w:t>
            </w:r>
          </w:p>
        </w:tc>
      </w:tr>
    </w:tbl>
    <w:p>
      <w:pPr>
        <w:pStyle w:val="Cuerpo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rPr>
        <w:rStyle w:val="Ninguno"/>
        <w:rFonts w:ascii="Calibri" w:cs="Calibri" w:hAnsi="Calibri" w:eastAsia="Calibri"/>
        <w:b w:val="1"/>
        <w:bCs w:val="1"/>
      </w:rPr>
    </w:pP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>An</w:t>
    </w: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>á</w:t>
    </w: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>lisis D.A.F.O.  del C.E.E. Nuestra Se</w:t>
    </w: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>ñ</w:t>
    </w: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 xml:space="preserve">ora De Lourdes- Aspronaga </w:t>
    </w:r>
  </w:p>
  <w:p>
    <w:pPr>
      <w:pStyle w:val="header"/>
      <w:tabs>
        <w:tab w:val="right" w:pos="8478"/>
        <w:tab w:val="clear" w:pos="8504"/>
      </w:tabs>
    </w:pP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>(</w:t>
    </w: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 xml:space="preserve">Noviembre </w:t>
    </w: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>2018)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