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4F" w:rsidRPr="00B47A4F" w:rsidRDefault="00B3761F" w:rsidP="00B47A4F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ATENCIÓN DE LA SALUD (CRB4-0</w:t>
      </w:r>
      <w:bookmarkStart w:id="0" w:name="_GoBack"/>
      <w:bookmarkEnd w:id="0"/>
      <w:r w:rsidR="00B47A4F" w:rsidRPr="00B47A4F">
        <w:rPr>
          <w:rFonts w:ascii="Times New Roman" w:hAnsi="Times New Roman" w:cs="Times New Roman"/>
          <w:b/>
          <w:sz w:val="24"/>
          <w:szCs w:val="24"/>
          <w:u w:val="single"/>
        </w:rPr>
        <w:t>1)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</w:t>
      </w:r>
      <w:r w:rsidRPr="00B47A4F">
        <w:rPr>
          <w:rFonts w:ascii="Times New Roman" w:hAnsi="Times New Roman" w:cs="Times New Roman"/>
          <w:sz w:val="24"/>
          <w:szCs w:val="24"/>
        </w:rPr>
        <w:t xml:space="preserve"> aprobación: 15/01/2008.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Realizado por: MARIA JOSE MUÑOZ MARTIN -JUAN MÉNDEZ LÓPEZ.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Revisado por: POMPEYO FERNANDEZ PEREZ.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Aprobado por: POMPEYO FERNANDEZ PEREZ.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A4F">
        <w:rPr>
          <w:rFonts w:ascii="Times New Roman" w:hAnsi="Times New Roman" w:cs="Times New Roman"/>
          <w:b/>
          <w:sz w:val="24"/>
          <w:szCs w:val="24"/>
          <w:u w:val="single"/>
        </w:rPr>
        <w:t>Objeto: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Asegurar la salud física y psíquica de los usuarios...</w:t>
      </w:r>
    </w:p>
    <w:p w:rsid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A4F">
        <w:rPr>
          <w:rFonts w:ascii="Times New Roman" w:hAnsi="Times New Roman" w:cs="Times New Roman"/>
          <w:b/>
          <w:sz w:val="24"/>
          <w:szCs w:val="24"/>
          <w:u w:val="single"/>
        </w:rPr>
        <w:t>Alcance: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 xml:space="preserve">Usuarios </w:t>
      </w:r>
      <w:r>
        <w:rPr>
          <w:rFonts w:ascii="Times New Roman" w:hAnsi="Times New Roman" w:cs="Times New Roman"/>
          <w:sz w:val="24"/>
          <w:szCs w:val="24"/>
        </w:rPr>
        <w:t xml:space="preserve">del CRB </w:t>
      </w:r>
      <w:r w:rsidRPr="00B47A4F">
        <w:rPr>
          <w:rFonts w:ascii="Times New Roman" w:hAnsi="Times New Roman" w:cs="Times New Roman"/>
          <w:sz w:val="24"/>
          <w:szCs w:val="24"/>
        </w:rPr>
        <w:t>con plaza permanente, quedando excluidos los residentes en situación de estancias por Respiro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4F">
        <w:rPr>
          <w:rFonts w:ascii="Times New Roman" w:hAnsi="Times New Roman" w:cs="Times New Roman"/>
          <w:sz w:val="24"/>
          <w:szCs w:val="24"/>
        </w:rPr>
        <w:t xml:space="preserve">Familiar la permanencia en el centro sea </w:t>
      </w:r>
      <w:r>
        <w:rPr>
          <w:rFonts w:ascii="Times New Roman" w:hAnsi="Times New Roman" w:cs="Times New Roman"/>
          <w:sz w:val="24"/>
          <w:szCs w:val="24"/>
        </w:rPr>
        <w:t>prevista inferior a seis meses.</w:t>
      </w:r>
    </w:p>
    <w:p w:rsid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A4F">
        <w:rPr>
          <w:rFonts w:ascii="Times New Roman" w:hAnsi="Times New Roman" w:cs="Times New Roman"/>
          <w:b/>
          <w:sz w:val="24"/>
          <w:szCs w:val="24"/>
          <w:u w:val="single"/>
        </w:rPr>
        <w:t>Responsabilidades: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Médico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Enfermera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A4F">
        <w:rPr>
          <w:rFonts w:ascii="Times New Roman" w:hAnsi="Times New Roman" w:cs="Times New Roman"/>
          <w:b/>
          <w:sz w:val="24"/>
          <w:szCs w:val="24"/>
          <w:u w:val="single"/>
        </w:rPr>
        <w:t>Notas: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En los casos de Respiro familiar con estancias inferiores a seis meses la atención la salud se centrará en el control y tratamiento de incidencias agudas y la administración de medidas farmacológicas o físicas pautadas previamente...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F111E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A4F">
        <w:rPr>
          <w:rFonts w:ascii="Times New Roman" w:hAnsi="Times New Roman" w:cs="Times New Roman"/>
          <w:b/>
          <w:sz w:val="24"/>
          <w:szCs w:val="24"/>
          <w:u w:val="single"/>
        </w:rPr>
        <w:t>Inicio: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Diagnóstico del usuario.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1. - Evaluación inicial al ingreso, luego de recepción de Informe Médico la Enfermería (CRB4-F-2) según Registro Médico de Ingreso (CRB4-F-3).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2. - Instauración de pautas de necesidades básicas: Alimentación, Control de esfínteres y necesidad de medidas físicas individuales para actividades de vida diaria. Ver Protocolo Médico de Ingreso.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4F">
        <w:rPr>
          <w:rFonts w:ascii="Times New Roman" w:hAnsi="Times New Roman" w:cs="Times New Roman"/>
          <w:sz w:val="24"/>
          <w:szCs w:val="24"/>
        </w:rPr>
        <w:t>(CRB4-D-2)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3. - Valoración y aplicación en su caso de Terapias especializadas (Fisioterapia, Control por Psiquiatría, Odontología. etc.) por el Responsable del Área de Salud, por ella una vez es realizada la evaluación inicial o cuando cualquier cambio en el estado del usuario lo aconseje conveniente. Ver Protocolo Médico de Ingreso</w:t>
      </w:r>
      <w:proofErr w:type="gramStart"/>
      <w:r w:rsidRPr="00B47A4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47A4F">
        <w:rPr>
          <w:rFonts w:ascii="Times New Roman" w:hAnsi="Times New Roman" w:cs="Times New Roman"/>
          <w:sz w:val="24"/>
          <w:szCs w:val="24"/>
        </w:rPr>
        <w:t>CRB4-D-2)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4. - Valoración del grupo de riesgo para controles específicos (detección precoz de enfermedades crónicas). Protocolo Médico de Ingreso</w:t>
      </w:r>
      <w:proofErr w:type="gramStart"/>
      <w:r w:rsidRPr="00B47A4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47A4F">
        <w:rPr>
          <w:rFonts w:ascii="Times New Roman" w:hAnsi="Times New Roman" w:cs="Times New Roman"/>
          <w:sz w:val="24"/>
          <w:szCs w:val="24"/>
        </w:rPr>
        <w:t xml:space="preserve">CRB4-D-2). Por el Responsable del Área de Salud o del enfermero en el que delegue. Se aplicará en el caso de ser necesario a grupos de riesgo específicos el protocolo de </w:t>
      </w:r>
      <w:proofErr w:type="spellStart"/>
      <w:r w:rsidRPr="00B47A4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47A4F">
        <w:rPr>
          <w:rFonts w:ascii="Times New Roman" w:hAnsi="Times New Roman" w:cs="Times New Roman"/>
          <w:sz w:val="24"/>
          <w:szCs w:val="24"/>
        </w:rPr>
        <w:t xml:space="preserve"> seguridad personalizado (CRB4-D-15)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 xml:space="preserve">5. - Control y revisiones diarias para la detección de procesos agudos y tratamiento o derivación en su caso. El control y la revisión diaria la realizará en primera instancia el enfermero correspondiente que comunicará al Responsable del Área de Salud aquellos casos que considere necesarios para su valoración. Las incidencias diarias </w:t>
      </w:r>
      <w:r>
        <w:rPr>
          <w:rFonts w:ascii="Times New Roman" w:hAnsi="Times New Roman" w:cs="Times New Roman"/>
          <w:sz w:val="24"/>
          <w:szCs w:val="24"/>
        </w:rPr>
        <w:t>se reflejaran</w:t>
      </w:r>
      <w:r w:rsidRPr="00B47A4F">
        <w:rPr>
          <w:rFonts w:ascii="Times New Roman" w:hAnsi="Times New Roman" w:cs="Times New Roman"/>
          <w:sz w:val="24"/>
          <w:szCs w:val="24"/>
        </w:rPr>
        <w:t xml:space="preserve"> en la aplicación informática para la Gestión de Centros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 xml:space="preserve">6. -Campañas de Medicina Preventiva.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B47A4F">
        <w:rPr>
          <w:rFonts w:ascii="Times New Roman" w:hAnsi="Times New Roman" w:cs="Times New Roman"/>
          <w:sz w:val="24"/>
          <w:szCs w:val="24"/>
        </w:rPr>
        <w:t xml:space="preserve"> realizará por lo menos una analítica sanguínea de control anual a todos los usuarios los resultados de los cuales quedarán incorporados a su expediente personal y si comunicarán al servicio de Enfermería en caso de tener que tomar ninguna medida especifica mediante la aplicación informática de gestión de Centros. (CRB0-F-1). Se remitirá una copia de dichos análisis a la familia de cada usuario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7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realizarán</w:t>
      </w:r>
      <w:r w:rsidRPr="00B47A4F">
        <w:rPr>
          <w:rFonts w:ascii="Times New Roman" w:hAnsi="Times New Roman" w:cs="Times New Roman"/>
          <w:sz w:val="24"/>
          <w:szCs w:val="24"/>
        </w:rPr>
        <w:t xml:space="preserve"> aquellas campañas de vacunación aconsejadas por el Servicio Gallego de Salud y quedaran registrados los datos en el Registro de Vacunaciones (CRB4-F-4). Será competencia del Responsable del Área de Salud o de la persona en la que él delegue realizar dicho registro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lastRenderedPageBreak/>
        <w:t xml:space="preserve">7. - El Responsable del Área de Salud o la persona en la que él delegue, efectuará el control y revisión periódica de medicaciones. </w:t>
      </w:r>
      <w:r>
        <w:rPr>
          <w:rFonts w:ascii="Times New Roman" w:hAnsi="Times New Roman" w:cs="Times New Roman"/>
          <w:sz w:val="24"/>
          <w:szCs w:val="24"/>
        </w:rPr>
        <w:t>Se registrarán</w:t>
      </w:r>
      <w:r w:rsidRPr="00B47A4F">
        <w:rPr>
          <w:rFonts w:ascii="Times New Roman" w:hAnsi="Times New Roman" w:cs="Times New Roman"/>
          <w:sz w:val="24"/>
          <w:szCs w:val="24"/>
        </w:rPr>
        <w:t xml:space="preserve"> los cambios y revisiones en la Hoja de Tratamiento (CRB4-F-5) de cada usuario. </w:t>
      </w:r>
      <w:proofErr w:type="spellStart"/>
      <w:r w:rsidRPr="00B47A4F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Pr="00B47A4F">
        <w:rPr>
          <w:rFonts w:ascii="Times New Roman" w:hAnsi="Times New Roman" w:cs="Times New Roman"/>
          <w:sz w:val="24"/>
          <w:szCs w:val="24"/>
        </w:rPr>
        <w:t xml:space="preserve"> incluso la preparación diaria de las medicaciones según protocolo de preparación de medicación (CRB4-D-16) el enfermero de turno y su administración a él mismo o la persona en la que delegue de acuerdo con el protocolo de normas de administraciones de medicaciones en el comedor (CRB4-D-03) que estará expuesto en los comedores.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8. - Registro diario de las incidencias médicas. Será responsabilidad del enfermero correspondiente, que quedaran reflejadas en la aplicación informática para la gestión de Centros. (CRB0-F-1), a sí incluso el médico reflejará los diagnósticos y pautas médicas necesarias en esta misma aplicación.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 xml:space="preserve">9. -El servicio será el encargado de la realización de las distintas dietas existentes en el centro, estos menús se variarán al menos dos veces el año. De forma periódica </w:t>
      </w:r>
      <w:r>
        <w:rPr>
          <w:rFonts w:ascii="Times New Roman" w:hAnsi="Times New Roman" w:cs="Times New Roman"/>
          <w:sz w:val="24"/>
          <w:szCs w:val="24"/>
        </w:rPr>
        <w:t>se remitirá a</w:t>
      </w:r>
      <w:r w:rsidRPr="00B47A4F">
        <w:rPr>
          <w:rFonts w:ascii="Times New Roman" w:hAnsi="Times New Roman" w:cs="Times New Roman"/>
          <w:sz w:val="24"/>
          <w:szCs w:val="24"/>
        </w:rPr>
        <w:t xml:space="preserve"> las familias una copia de </w:t>
      </w:r>
      <w:r>
        <w:rPr>
          <w:rFonts w:ascii="Times New Roman" w:hAnsi="Times New Roman" w:cs="Times New Roman"/>
          <w:sz w:val="24"/>
          <w:szCs w:val="24"/>
        </w:rPr>
        <w:t>dichos</w:t>
      </w:r>
      <w:r w:rsidRPr="00B47A4F">
        <w:rPr>
          <w:rFonts w:ascii="Times New Roman" w:hAnsi="Times New Roman" w:cs="Times New Roman"/>
          <w:sz w:val="24"/>
          <w:szCs w:val="24"/>
        </w:rPr>
        <w:t xml:space="preserve"> menús.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Las modificaciones diarias y adaptaciones personalizadas de los menús será responsabilidad del enfermero por delegación del responsable del servicio médico y quedaran reflejadas en el formato de Orden de dietas la Cocina (CRB4-F-6) que se realizará diariamente en cada tanda.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10. -Atención a Usuarios con necesidades médicas especiales: alimentación, respiración, cuidados de la piel, encamados, terminales, cuidados paliativos. Se reflejarán por el enfermero de cada tanda en la aplicación informática de gestión de Centros (CRB0-F-1).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11. - Derivación a consultas externas u hospitalizaciones en caso de considerarse necesario. Se utilizará para eso el formato de Informe de Derivación a Hospital (CRB4-F-7) que cobre el Responsable del Área de Salud o el enfermero en el que este delegue. Debe enviarse una copia al hospital y otra archivarse en el Centro.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12. - Detección precoz de señales de malos tratos, tanto dentro del Centro como en ámbito ajeno, de acuerdo con el Protocolo de Detección de Malos Tratos, (CRB4-D-1) emitiendo el informe pertinente en el formato de Valoración de Malos Tratos (CRB4-F-8).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13.- Control de farmacia: Será responsabilidad de enfermería la petición, recepción y colocación, así como la gestión de productos farmacéuticos y material sanitario recibido en el centro de acuerdo con protocolo de control de farmacia (CRB$-D-14)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14.- Gestión de desperdicios y mantenimiento de sana de curas: El centro dispondrá de un plan de gestión de desperdicios que será responsabilidad del jefe del servicio y se aplicará de acuerdo con el protocolo Limpieza y desinfección (CRB4-D-17)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Todos los pasos anteriores se entienden aplicables en su totalidad a usuarios con plaza permanente, quedando excluidos los residentes en situación de estancias por Respiro Familiar la permanencia en el Centro del cual se prevea inferior a seis meses. En estos casos la atención a la salud se centrará en el control y tratamiento de incidencias agudas y la administración de medidas farmacológicas o físicas pautadas previamente.</w:t>
      </w:r>
    </w:p>
    <w:p w:rsid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A4F">
        <w:rPr>
          <w:rFonts w:ascii="Times New Roman" w:hAnsi="Times New Roman" w:cs="Times New Roman"/>
          <w:b/>
          <w:sz w:val="24"/>
          <w:szCs w:val="24"/>
          <w:u w:val="single"/>
        </w:rPr>
        <w:t>Final: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Con la baja del usuario en el Centro.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A4F">
        <w:rPr>
          <w:rFonts w:ascii="Times New Roman" w:hAnsi="Times New Roman" w:cs="Times New Roman"/>
          <w:b/>
          <w:sz w:val="24"/>
          <w:szCs w:val="24"/>
          <w:u w:val="single"/>
        </w:rPr>
        <w:t>Puntos críticos: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- Contar con personal sanitario experimentado para realizar un buen diagnóstico y una buena exploración.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- Contar con los recursos técnicos adecuados a las características de los usuarios.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- Contar con los profesionales necesarios para realizar un adecuado tratamiento.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- Contar con la adecuada colaboración de los servicios del SERGAS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- Patologías asociadas a la discapacidad intelectual grave.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4F">
        <w:rPr>
          <w:rFonts w:ascii="Times New Roman" w:hAnsi="Times New Roman" w:cs="Times New Roman"/>
          <w:sz w:val="24"/>
          <w:szCs w:val="24"/>
        </w:rPr>
        <w:t>Los procesos de envejecimiento. En personas con discapacidad, gravemente afectadas, la edad media de riesgo se sitúa en torno a los 40/45 años.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47A4F">
        <w:rPr>
          <w:rFonts w:ascii="Times New Roman" w:hAnsi="Times New Roman" w:cs="Times New Roman"/>
          <w:sz w:val="24"/>
          <w:szCs w:val="24"/>
        </w:rPr>
        <w:t>Dificultad de Diagnóstico y tratamiento por falta de colaboración de él usuario, condicionada por las dificultades de comunicación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A4F">
        <w:rPr>
          <w:rFonts w:ascii="Times New Roman" w:hAnsi="Times New Roman" w:cs="Times New Roman"/>
          <w:b/>
          <w:sz w:val="24"/>
          <w:szCs w:val="24"/>
          <w:u w:val="single"/>
        </w:rPr>
        <w:t>Recursos humanos: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Médico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Enfermero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Fisioterapeuta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Psicólogo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Cuidadores.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A4F">
        <w:rPr>
          <w:rFonts w:ascii="Times New Roman" w:hAnsi="Times New Roman" w:cs="Times New Roman"/>
          <w:b/>
          <w:sz w:val="24"/>
          <w:szCs w:val="24"/>
          <w:u w:val="single"/>
        </w:rPr>
        <w:t>Recursos materiales: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Equipamiento clínico del Centro (equipamiento de cirugía menor)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Bascula de cadera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Aspirador de secreciones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Balas de oxigeno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A4F">
        <w:rPr>
          <w:rFonts w:ascii="Times New Roman" w:hAnsi="Times New Roman" w:cs="Times New Roman"/>
          <w:sz w:val="24"/>
          <w:szCs w:val="24"/>
        </w:rPr>
        <w:t>Esfingomanometros</w:t>
      </w:r>
      <w:proofErr w:type="spellEnd"/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Fonendoscopios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Material de exploración desechable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Camillas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Horno esterilizador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Especulo vaginal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A4F">
        <w:rPr>
          <w:rFonts w:ascii="Times New Roman" w:hAnsi="Times New Roman" w:cs="Times New Roman"/>
          <w:sz w:val="24"/>
          <w:szCs w:val="24"/>
        </w:rPr>
        <w:t>Pulsiometro</w:t>
      </w:r>
      <w:proofErr w:type="spellEnd"/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Otoscopio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Nevera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Productos farmacológicos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Material de curas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Férulas.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A4F">
        <w:rPr>
          <w:rFonts w:ascii="Times New Roman" w:hAnsi="Times New Roman" w:cs="Times New Roman"/>
          <w:b/>
          <w:sz w:val="24"/>
          <w:szCs w:val="24"/>
          <w:u w:val="single"/>
        </w:rPr>
        <w:t>Proveedores clave: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Recursos humanos externos (SERGAS)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Psiquiatra asignado por el Sergas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Servicio de Odontología de Univ. De Santiago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Proveedor Farmacéutico.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Empresa de gestión de desperdicios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 xml:space="preserve">Empresa suministradora de </w:t>
      </w:r>
      <w:proofErr w:type="spellStart"/>
      <w:r w:rsidRPr="00B47A4F">
        <w:rPr>
          <w:rFonts w:ascii="Times New Roman" w:hAnsi="Times New Roman" w:cs="Times New Roman"/>
          <w:sz w:val="24"/>
          <w:szCs w:val="24"/>
        </w:rPr>
        <w:t>oxíseno</w:t>
      </w:r>
      <w:proofErr w:type="spellEnd"/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A4F">
        <w:rPr>
          <w:rFonts w:ascii="Times New Roman" w:hAnsi="Times New Roman" w:cs="Times New Roman"/>
          <w:b/>
          <w:sz w:val="24"/>
          <w:szCs w:val="24"/>
          <w:u w:val="single"/>
        </w:rPr>
        <w:t>Registros vinculados: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 xml:space="preserve">CRB0-F-1 APLICACIÓN INFORMÁTICA DE GESTIÓN DE CENTROS </w:t>
      </w:r>
    </w:p>
    <w:p w:rsid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CRB4-F-2 INFORME MÉDICO A ENFERMERÍA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CRB4-F-3 REGISTRO MEDICO DE INGRESO.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CRB4-F-4 REGISTRO DE VACUNACIONES.</w:t>
      </w:r>
    </w:p>
    <w:p w:rsid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CRB4-F-5 HOJA DE TRATAMIENTOS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CRB4-F-6 URDEN DE DIETAS A LA COCÍ.</w:t>
      </w:r>
    </w:p>
    <w:p w:rsid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CRB4-F-7 INFORME DE DERIVACIÓN HOSPITAL.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CRB4-F-8 INFORME DE VALORACIÓN DE MALOS TRATOS.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CRB4-F-9 FORMULARIO VALORACIÓN DE MENÚS.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CRB4-F10 OBJETIVOS DE SALUD PLANES INDIVIDUALES.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A4F">
        <w:rPr>
          <w:rFonts w:ascii="Times New Roman" w:hAnsi="Times New Roman" w:cs="Times New Roman"/>
          <w:b/>
          <w:sz w:val="24"/>
          <w:szCs w:val="24"/>
          <w:u w:val="single"/>
        </w:rPr>
        <w:t>Documentación de referencia: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CRB4-D-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7A4F">
        <w:rPr>
          <w:rFonts w:ascii="Times New Roman" w:hAnsi="Times New Roman" w:cs="Times New Roman"/>
          <w:sz w:val="24"/>
          <w:szCs w:val="24"/>
        </w:rPr>
        <w:t>1 PROTOCOLO DE DETECCIÓN DE MALOS TRATOS.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CRB4-D-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7A4F">
        <w:rPr>
          <w:rFonts w:ascii="Times New Roman" w:hAnsi="Times New Roman" w:cs="Times New Roman"/>
          <w:sz w:val="24"/>
          <w:szCs w:val="24"/>
        </w:rPr>
        <w:t>2 PROTOCOLO MÉDICO DE INGRESO.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CRB4-D-03 NORMAS ADMINISTRACIÓN MEDICACIÓN EN COMEDORES.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CRB4-D-04 PROTOCOLO DE PREVENCIÓN DE ÚLCERAS POR PRESIÓN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lastRenderedPageBreak/>
        <w:t>CRB4-D-05 PROTOCOLO DE ELIMINACIÓN FECAL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CRB4-D-06 PROTOCOLO DE ESTADO CUTÁNEO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CRB4-D-07 PROTOCOLO DE MOVILIDAD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CRB4-D-08 PROTOCOLO DE NUTRICIÓN ENTERAL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CRB4-D-09 PROTOCOLO DE NUTRICIÓN ALIMENTACIÓN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CRB4-D-10 PROTOCOLO DE PREVENCIÓN DE CAÍDAS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CRB4-D-11 PROTOCOLO DE TEMPERATURA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CRB4-D-12 PROTOCOLO RITMO SUEÑO VIGILIA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CRB4-D-13 SÍNDROME VARICOSO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CRB4-D-14 PROTOCOLO DE CONTROL DE FARMACIA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CRB4-D-15 PROTOCOLO DE SEGURIDAD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CRB4-D-16 PROTOCOLO DE PREPARACIÓN DE MEDICACIONES</w:t>
      </w:r>
    </w:p>
    <w:p w:rsidR="00B47A4F" w:rsidRPr="00B47A4F" w:rsidRDefault="00B47A4F" w:rsidP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7A4F">
        <w:rPr>
          <w:rFonts w:ascii="Times New Roman" w:hAnsi="Times New Roman" w:cs="Times New Roman"/>
          <w:sz w:val="24"/>
          <w:szCs w:val="24"/>
        </w:rPr>
        <w:t>CRB4-D-17 PROTOCOLO DE DESINFECCIÓN - ESTERILIZACIÓN</w:t>
      </w:r>
    </w:p>
    <w:p w:rsidR="00B47A4F" w:rsidRPr="00B47A4F" w:rsidRDefault="00B47A4F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B47A4F" w:rsidRPr="00B47A4F" w:rsidSect="00B47A4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F"/>
    <w:rsid w:val="006F111E"/>
    <w:rsid w:val="00B3761F"/>
    <w:rsid w:val="00B4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Fontela</dc:creator>
  <cp:keywords/>
  <dc:description/>
  <cp:lastModifiedBy>Juan Mendez</cp:lastModifiedBy>
  <cp:revision>2</cp:revision>
  <dcterms:created xsi:type="dcterms:W3CDTF">2015-11-14T00:57:00Z</dcterms:created>
  <dcterms:modified xsi:type="dcterms:W3CDTF">2015-11-14T00:57:00Z</dcterms:modified>
</cp:coreProperties>
</file>